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B273" w14:textId="77777777" w:rsidR="00327831" w:rsidRDefault="00327831" w:rsidP="00327831">
      <w:pPr>
        <w:widowControl/>
        <w:jc w:val="left"/>
        <w:rPr>
          <w:rFonts w:ascii="微软雅黑" w:eastAsia="微软雅黑" w:hAnsi="微软雅黑" w:cs="宋体"/>
          <w:color w:val="727272"/>
          <w:kern w:val="0"/>
          <w:sz w:val="24"/>
        </w:rPr>
      </w:pPr>
      <w:r w:rsidRPr="002E097B">
        <w:rPr>
          <w:rFonts w:ascii="仿宋_GB2312" w:eastAsia="仿宋_GB2312" w:hint="eastAsia"/>
          <w:sz w:val="32"/>
          <w:szCs w:val="32"/>
          <w:bdr w:val="none" w:sz="0" w:space="0" w:color="auto" w:frame="1"/>
        </w:rPr>
        <w:t>附件</w:t>
      </w:r>
    </w:p>
    <w:p w14:paraId="1C078B8B" w14:textId="77777777" w:rsidR="00327831" w:rsidRPr="00FB3AE7" w:rsidRDefault="00327831" w:rsidP="00327831">
      <w:pPr>
        <w:pStyle w:val="p0"/>
        <w:spacing w:line="540" w:lineRule="exact"/>
        <w:jc w:val="center"/>
        <w:rPr>
          <w:rFonts w:ascii="方正小标宋简体" w:eastAsia="方正小标宋简体"/>
          <w:spacing w:val="-8"/>
          <w:sz w:val="44"/>
          <w:szCs w:val="44"/>
          <w:bdr w:val="none" w:sz="0" w:space="0" w:color="auto" w:frame="1"/>
        </w:rPr>
      </w:pPr>
      <w:r w:rsidRPr="00FB3AE7">
        <w:rPr>
          <w:rFonts w:ascii="方正小标宋简体" w:eastAsia="方正小标宋简体" w:hint="eastAsia"/>
          <w:spacing w:val="-8"/>
          <w:sz w:val="44"/>
          <w:szCs w:val="44"/>
          <w:bdr w:val="none" w:sz="0" w:space="0" w:color="auto" w:frame="1"/>
        </w:rPr>
        <w:t>20</w:t>
      </w:r>
      <w:r w:rsidRPr="00FB3AE7">
        <w:rPr>
          <w:rFonts w:ascii="方正小标宋简体" w:eastAsia="方正小标宋简体"/>
          <w:spacing w:val="-8"/>
          <w:sz w:val="44"/>
          <w:szCs w:val="44"/>
          <w:bdr w:val="none" w:sz="0" w:space="0" w:color="auto" w:frame="1"/>
        </w:rPr>
        <w:t>2</w:t>
      </w:r>
      <w:r w:rsidR="000F352D">
        <w:rPr>
          <w:rFonts w:ascii="方正小标宋简体" w:eastAsia="方正小标宋简体" w:hint="eastAsia"/>
          <w:spacing w:val="-8"/>
          <w:sz w:val="44"/>
          <w:szCs w:val="44"/>
          <w:bdr w:val="none" w:sz="0" w:space="0" w:color="auto" w:frame="1"/>
        </w:rPr>
        <w:t>1</w:t>
      </w:r>
      <w:r w:rsidRPr="00FB3AE7">
        <w:rPr>
          <w:rFonts w:ascii="方正小标宋简体" w:eastAsia="方正小标宋简体" w:hint="eastAsia"/>
          <w:spacing w:val="-8"/>
          <w:sz w:val="44"/>
          <w:szCs w:val="44"/>
          <w:bdr w:val="none" w:sz="0" w:space="0" w:color="auto" w:frame="1"/>
        </w:rPr>
        <w:t>年度统战理论研究课题立项项目一览表</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080"/>
        <w:gridCol w:w="1559"/>
        <w:gridCol w:w="3289"/>
      </w:tblGrid>
      <w:tr w:rsidR="00327831" w:rsidRPr="00993D87" w14:paraId="5223A07B" w14:textId="77777777" w:rsidTr="000F352D">
        <w:trPr>
          <w:trHeight w:val="540"/>
        </w:trPr>
        <w:tc>
          <w:tcPr>
            <w:tcW w:w="822" w:type="dxa"/>
            <w:shd w:val="clear" w:color="auto" w:fill="auto"/>
            <w:vAlign w:val="center"/>
            <w:hideMark/>
          </w:tcPr>
          <w:p w14:paraId="68811BF3" w14:textId="77777777" w:rsidR="00327831" w:rsidRPr="00993D87" w:rsidRDefault="00327831" w:rsidP="00D40262">
            <w:pPr>
              <w:widowControl/>
              <w:jc w:val="center"/>
              <w:rPr>
                <w:rFonts w:ascii="仿宋_GB2312" w:eastAsia="仿宋_GB2312" w:hAnsi="宋体" w:cs="宋体"/>
                <w:b/>
                <w:bCs/>
                <w:color w:val="000000"/>
                <w:kern w:val="0"/>
                <w:sz w:val="28"/>
                <w:szCs w:val="28"/>
              </w:rPr>
            </w:pPr>
            <w:r w:rsidRPr="00993D87">
              <w:rPr>
                <w:rFonts w:ascii="仿宋_GB2312" w:eastAsia="仿宋_GB2312" w:hAnsi="宋体" w:cs="宋体" w:hint="eastAsia"/>
                <w:b/>
                <w:bCs/>
                <w:color w:val="000000"/>
                <w:kern w:val="0"/>
                <w:sz w:val="28"/>
                <w:szCs w:val="28"/>
              </w:rPr>
              <w:t>序号</w:t>
            </w:r>
          </w:p>
        </w:tc>
        <w:tc>
          <w:tcPr>
            <w:tcW w:w="8080" w:type="dxa"/>
            <w:shd w:val="clear" w:color="auto" w:fill="auto"/>
            <w:vAlign w:val="center"/>
            <w:hideMark/>
          </w:tcPr>
          <w:p w14:paraId="3C1A376B" w14:textId="77777777" w:rsidR="00327831" w:rsidRPr="00993D87" w:rsidRDefault="00327831" w:rsidP="00D40262">
            <w:pPr>
              <w:widowControl/>
              <w:jc w:val="center"/>
              <w:rPr>
                <w:rFonts w:ascii="仿宋_GB2312" w:eastAsia="仿宋_GB2312" w:hAnsi="宋体" w:cs="宋体"/>
                <w:b/>
                <w:bCs/>
                <w:color w:val="000000"/>
                <w:kern w:val="0"/>
                <w:sz w:val="28"/>
                <w:szCs w:val="28"/>
              </w:rPr>
            </w:pPr>
            <w:r w:rsidRPr="00993D87">
              <w:rPr>
                <w:rFonts w:ascii="仿宋_GB2312" w:eastAsia="仿宋_GB2312" w:hAnsi="宋体" w:cs="宋体" w:hint="eastAsia"/>
                <w:b/>
                <w:bCs/>
                <w:color w:val="000000"/>
                <w:kern w:val="0"/>
                <w:sz w:val="28"/>
                <w:szCs w:val="28"/>
              </w:rPr>
              <w:t>课题名称</w:t>
            </w:r>
          </w:p>
        </w:tc>
        <w:tc>
          <w:tcPr>
            <w:tcW w:w="1559" w:type="dxa"/>
            <w:shd w:val="clear" w:color="auto" w:fill="auto"/>
            <w:vAlign w:val="center"/>
            <w:hideMark/>
          </w:tcPr>
          <w:p w14:paraId="54CCE8E0" w14:textId="77777777" w:rsidR="00327831" w:rsidRPr="00993D87" w:rsidRDefault="00327831" w:rsidP="00D40262">
            <w:pPr>
              <w:widowControl/>
              <w:jc w:val="center"/>
              <w:rPr>
                <w:rFonts w:ascii="仿宋_GB2312" w:eastAsia="仿宋_GB2312" w:hAnsi="宋体" w:cs="宋体"/>
                <w:b/>
                <w:bCs/>
                <w:color w:val="000000"/>
                <w:kern w:val="0"/>
                <w:sz w:val="28"/>
                <w:szCs w:val="28"/>
              </w:rPr>
            </w:pPr>
            <w:r w:rsidRPr="00993D87">
              <w:rPr>
                <w:rFonts w:ascii="仿宋_GB2312" w:eastAsia="仿宋_GB2312" w:hAnsi="宋体" w:cs="宋体" w:hint="eastAsia"/>
                <w:b/>
                <w:bCs/>
                <w:color w:val="000000"/>
                <w:kern w:val="0"/>
                <w:sz w:val="28"/>
                <w:szCs w:val="28"/>
              </w:rPr>
              <w:t>负责人</w:t>
            </w:r>
          </w:p>
        </w:tc>
        <w:tc>
          <w:tcPr>
            <w:tcW w:w="3289" w:type="dxa"/>
            <w:shd w:val="clear" w:color="auto" w:fill="auto"/>
            <w:vAlign w:val="center"/>
            <w:hideMark/>
          </w:tcPr>
          <w:p w14:paraId="540EAD85" w14:textId="77777777" w:rsidR="00327831" w:rsidRPr="00993D87" w:rsidRDefault="00327831" w:rsidP="00D40262">
            <w:pPr>
              <w:widowControl/>
              <w:jc w:val="center"/>
              <w:rPr>
                <w:rFonts w:ascii="仿宋_GB2312" w:eastAsia="仿宋_GB2312" w:hAnsi="宋体" w:cs="宋体"/>
                <w:b/>
                <w:bCs/>
                <w:color w:val="000000"/>
                <w:kern w:val="0"/>
                <w:sz w:val="28"/>
                <w:szCs w:val="28"/>
              </w:rPr>
            </w:pPr>
            <w:r w:rsidRPr="00993D87">
              <w:rPr>
                <w:rFonts w:ascii="仿宋_GB2312" w:eastAsia="仿宋_GB2312" w:hAnsi="宋体" w:cs="宋体" w:hint="eastAsia"/>
                <w:b/>
                <w:bCs/>
                <w:color w:val="000000"/>
                <w:kern w:val="0"/>
                <w:sz w:val="28"/>
                <w:szCs w:val="28"/>
              </w:rPr>
              <w:t>所在单位</w:t>
            </w:r>
          </w:p>
        </w:tc>
      </w:tr>
      <w:tr w:rsidR="000F352D" w:rsidRPr="00993D87" w14:paraId="38492CE1" w14:textId="77777777" w:rsidTr="000F352D">
        <w:trPr>
          <w:trHeight w:val="540"/>
        </w:trPr>
        <w:tc>
          <w:tcPr>
            <w:tcW w:w="822" w:type="dxa"/>
            <w:shd w:val="clear" w:color="auto" w:fill="auto"/>
            <w:noWrap/>
            <w:vAlign w:val="center"/>
            <w:hideMark/>
          </w:tcPr>
          <w:p w14:paraId="3BD06E5E"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1</w:t>
            </w:r>
          </w:p>
        </w:tc>
        <w:tc>
          <w:tcPr>
            <w:tcW w:w="8080" w:type="dxa"/>
            <w:shd w:val="clear" w:color="auto" w:fill="auto"/>
            <w:vAlign w:val="center"/>
            <w:hideMark/>
          </w:tcPr>
          <w:p w14:paraId="4626E444"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抗战时期周恩来的知识分子统战工作及当代价值研究</w:t>
            </w:r>
          </w:p>
        </w:tc>
        <w:tc>
          <w:tcPr>
            <w:tcW w:w="1559" w:type="dxa"/>
            <w:shd w:val="clear" w:color="auto" w:fill="auto"/>
            <w:vAlign w:val="center"/>
            <w:hideMark/>
          </w:tcPr>
          <w:p w14:paraId="5D0FCF8E"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席娟</w:t>
            </w:r>
          </w:p>
        </w:tc>
        <w:tc>
          <w:tcPr>
            <w:tcW w:w="3289" w:type="dxa"/>
            <w:shd w:val="clear" w:color="auto" w:fill="auto"/>
            <w:vAlign w:val="center"/>
            <w:hideMark/>
          </w:tcPr>
          <w:p w14:paraId="429A6609"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机械工程学院</w:t>
            </w:r>
          </w:p>
        </w:tc>
      </w:tr>
      <w:tr w:rsidR="000F352D" w:rsidRPr="00993D87" w14:paraId="4630FAEE" w14:textId="77777777" w:rsidTr="000F352D">
        <w:trPr>
          <w:trHeight w:val="540"/>
        </w:trPr>
        <w:tc>
          <w:tcPr>
            <w:tcW w:w="822" w:type="dxa"/>
            <w:shd w:val="clear" w:color="auto" w:fill="auto"/>
            <w:noWrap/>
            <w:vAlign w:val="center"/>
            <w:hideMark/>
          </w:tcPr>
          <w:p w14:paraId="6A4B83C2"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2</w:t>
            </w:r>
          </w:p>
        </w:tc>
        <w:tc>
          <w:tcPr>
            <w:tcW w:w="8080" w:type="dxa"/>
            <w:shd w:val="clear" w:color="auto" w:fill="auto"/>
            <w:vAlign w:val="center"/>
            <w:hideMark/>
          </w:tcPr>
          <w:p w14:paraId="6E0AA960"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我校少数民族学生国家认同现状及其教育路径研究</w:t>
            </w:r>
          </w:p>
        </w:tc>
        <w:tc>
          <w:tcPr>
            <w:tcW w:w="1559" w:type="dxa"/>
            <w:shd w:val="clear" w:color="auto" w:fill="auto"/>
            <w:vAlign w:val="center"/>
            <w:hideMark/>
          </w:tcPr>
          <w:p w14:paraId="2A10CA67"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李红兰</w:t>
            </w:r>
          </w:p>
        </w:tc>
        <w:tc>
          <w:tcPr>
            <w:tcW w:w="3289" w:type="dxa"/>
            <w:shd w:val="clear" w:color="auto" w:fill="auto"/>
            <w:vAlign w:val="center"/>
            <w:hideMark/>
          </w:tcPr>
          <w:p w14:paraId="61319514"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能源与动力学院</w:t>
            </w:r>
          </w:p>
        </w:tc>
      </w:tr>
      <w:tr w:rsidR="000F352D" w:rsidRPr="00993D87" w14:paraId="462113D8" w14:textId="77777777" w:rsidTr="000F352D">
        <w:trPr>
          <w:trHeight w:val="540"/>
        </w:trPr>
        <w:tc>
          <w:tcPr>
            <w:tcW w:w="822" w:type="dxa"/>
            <w:shd w:val="clear" w:color="auto" w:fill="auto"/>
            <w:noWrap/>
            <w:vAlign w:val="center"/>
            <w:hideMark/>
          </w:tcPr>
          <w:p w14:paraId="60174E0E"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3</w:t>
            </w:r>
          </w:p>
        </w:tc>
        <w:tc>
          <w:tcPr>
            <w:tcW w:w="8080" w:type="dxa"/>
            <w:shd w:val="clear" w:color="auto" w:fill="auto"/>
            <w:vAlign w:val="center"/>
            <w:hideMark/>
          </w:tcPr>
          <w:p w14:paraId="791A67DE"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大学生中华民族共同体意识教育方法及路径研究</w:t>
            </w:r>
          </w:p>
        </w:tc>
        <w:tc>
          <w:tcPr>
            <w:tcW w:w="1559" w:type="dxa"/>
            <w:shd w:val="clear" w:color="auto" w:fill="auto"/>
            <w:vAlign w:val="center"/>
            <w:hideMark/>
          </w:tcPr>
          <w:p w14:paraId="050FA85D"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杨海涛</w:t>
            </w:r>
          </w:p>
        </w:tc>
        <w:tc>
          <w:tcPr>
            <w:tcW w:w="3289" w:type="dxa"/>
            <w:shd w:val="clear" w:color="auto" w:fill="auto"/>
            <w:vAlign w:val="center"/>
            <w:hideMark/>
          </w:tcPr>
          <w:p w14:paraId="44BA9CE0"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经济管理学院</w:t>
            </w:r>
          </w:p>
        </w:tc>
      </w:tr>
      <w:tr w:rsidR="000F352D" w:rsidRPr="00993D87" w14:paraId="1B731423" w14:textId="77777777" w:rsidTr="000F352D">
        <w:trPr>
          <w:trHeight w:val="540"/>
        </w:trPr>
        <w:tc>
          <w:tcPr>
            <w:tcW w:w="822" w:type="dxa"/>
            <w:shd w:val="clear" w:color="auto" w:fill="auto"/>
            <w:noWrap/>
            <w:vAlign w:val="center"/>
            <w:hideMark/>
          </w:tcPr>
          <w:p w14:paraId="7E031078"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4</w:t>
            </w:r>
          </w:p>
        </w:tc>
        <w:tc>
          <w:tcPr>
            <w:tcW w:w="8080" w:type="dxa"/>
            <w:shd w:val="clear" w:color="auto" w:fill="auto"/>
            <w:vAlign w:val="center"/>
            <w:hideMark/>
          </w:tcPr>
          <w:p w14:paraId="569BC4FA"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统一战线视阈下支持民营经济提升核心竞争力对策研究</w:t>
            </w:r>
          </w:p>
        </w:tc>
        <w:tc>
          <w:tcPr>
            <w:tcW w:w="1559" w:type="dxa"/>
            <w:shd w:val="clear" w:color="auto" w:fill="auto"/>
            <w:vAlign w:val="center"/>
            <w:hideMark/>
          </w:tcPr>
          <w:p w14:paraId="30E08E8D"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盛永祥</w:t>
            </w:r>
          </w:p>
        </w:tc>
        <w:tc>
          <w:tcPr>
            <w:tcW w:w="3289" w:type="dxa"/>
            <w:shd w:val="clear" w:color="auto" w:fill="auto"/>
            <w:vAlign w:val="center"/>
            <w:hideMark/>
          </w:tcPr>
          <w:p w14:paraId="31C987FF"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经济管理学院</w:t>
            </w:r>
          </w:p>
        </w:tc>
      </w:tr>
      <w:tr w:rsidR="000F352D" w:rsidRPr="00993D87" w14:paraId="40D44806" w14:textId="77777777" w:rsidTr="000F352D">
        <w:trPr>
          <w:trHeight w:val="540"/>
        </w:trPr>
        <w:tc>
          <w:tcPr>
            <w:tcW w:w="822" w:type="dxa"/>
            <w:shd w:val="clear" w:color="auto" w:fill="auto"/>
            <w:noWrap/>
            <w:vAlign w:val="center"/>
            <w:hideMark/>
          </w:tcPr>
          <w:p w14:paraId="28D835AB"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5</w:t>
            </w:r>
          </w:p>
        </w:tc>
        <w:tc>
          <w:tcPr>
            <w:tcW w:w="8080" w:type="dxa"/>
            <w:shd w:val="clear" w:color="auto" w:fill="auto"/>
            <w:vAlign w:val="center"/>
            <w:hideMark/>
          </w:tcPr>
          <w:p w14:paraId="098FA862" w14:textId="77777777" w:rsidR="000F352D" w:rsidRDefault="000F352D" w:rsidP="000F352D">
            <w:pPr>
              <w:spacing w:line="400" w:lineRule="exact"/>
              <w:rPr>
                <w:rFonts w:ascii="仿宋_GB2312" w:eastAsia="仿宋_GB2312" w:hAnsi="等线"/>
                <w:color w:val="000000"/>
                <w:sz w:val="28"/>
                <w:szCs w:val="28"/>
              </w:rPr>
            </w:pPr>
            <w:r>
              <w:rPr>
                <w:rFonts w:ascii="仿宋_GB2312" w:eastAsia="仿宋_GB2312" w:hAnsi="等线" w:hint="eastAsia"/>
                <w:color w:val="000000"/>
                <w:sz w:val="28"/>
                <w:szCs w:val="28"/>
              </w:rPr>
              <w:t>新时代党外知识分子作用发挥机制研究与实践</w:t>
            </w:r>
          </w:p>
          <w:p w14:paraId="673B611C" w14:textId="77777777" w:rsidR="000F352D" w:rsidRDefault="000F352D" w:rsidP="000F352D">
            <w:pPr>
              <w:spacing w:line="400" w:lineRule="exact"/>
              <w:ind w:firstLineChars="1500" w:firstLine="4200"/>
              <w:rPr>
                <w:rFonts w:ascii="仿宋_GB2312" w:eastAsia="仿宋_GB2312" w:hAnsi="等线" w:cs="宋体"/>
                <w:color w:val="000000"/>
                <w:sz w:val="28"/>
                <w:szCs w:val="28"/>
              </w:rPr>
            </w:pPr>
            <w:r>
              <w:rPr>
                <w:rFonts w:ascii="仿宋_GB2312" w:eastAsia="仿宋_GB2312" w:hAnsi="等线" w:hint="eastAsia"/>
                <w:color w:val="000000"/>
                <w:sz w:val="28"/>
                <w:szCs w:val="28"/>
              </w:rPr>
              <w:t>——以计算机学院为例</w:t>
            </w:r>
          </w:p>
        </w:tc>
        <w:tc>
          <w:tcPr>
            <w:tcW w:w="1559" w:type="dxa"/>
            <w:shd w:val="clear" w:color="auto" w:fill="auto"/>
            <w:vAlign w:val="center"/>
            <w:hideMark/>
          </w:tcPr>
          <w:p w14:paraId="6C096123"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韩斌</w:t>
            </w:r>
          </w:p>
        </w:tc>
        <w:tc>
          <w:tcPr>
            <w:tcW w:w="3289" w:type="dxa"/>
            <w:shd w:val="clear" w:color="auto" w:fill="auto"/>
            <w:vAlign w:val="center"/>
            <w:hideMark/>
          </w:tcPr>
          <w:p w14:paraId="3EE0601F"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计算机学院</w:t>
            </w:r>
          </w:p>
        </w:tc>
      </w:tr>
      <w:tr w:rsidR="000F352D" w:rsidRPr="00993D87" w14:paraId="7A7298E3" w14:textId="77777777" w:rsidTr="000F352D">
        <w:trPr>
          <w:trHeight w:val="540"/>
        </w:trPr>
        <w:tc>
          <w:tcPr>
            <w:tcW w:w="822" w:type="dxa"/>
            <w:shd w:val="clear" w:color="auto" w:fill="auto"/>
            <w:noWrap/>
            <w:vAlign w:val="center"/>
            <w:hideMark/>
          </w:tcPr>
          <w:p w14:paraId="2ADBE1F3"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6</w:t>
            </w:r>
          </w:p>
        </w:tc>
        <w:tc>
          <w:tcPr>
            <w:tcW w:w="8080" w:type="dxa"/>
            <w:shd w:val="clear" w:color="auto" w:fill="auto"/>
            <w:vAlign w:val="center"/>
            <w:hideMark/>
          </w:tcPr>
          <w:p w14:paraId="507803F7"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新时代高校党外人士作用发挥激励机制研究</w:t>
            </w:r>
          </w:p>
        </w:tc>
        <w:tc>
          <w:tcPr>
            <w:tcW w:w="1559" w:type="dxa"/>
            <w:shd w:val="clear" w:color="auto" w:fill="auto"/>
            <w:vAlign w:val="center"/>
            <w:hideMark/>
          </w:tcPr>
          <w:p w14:paraId="273CE8A8"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李文</w:t>
            </w:r>
          </w:p>
        </w:tc>
        <w:tc>
          <w:tcPr>
            <w:tcW w:w="3289" w:type="dxa"/>
            <w:shd w:val="clear" w:color="auto" w:fill="auto"/>
            <w:vAlign w:val="center"/>
            <w:hideMark/>
          </w:tcPr>
          <w:p w14:paraId="66B64B46"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土木工程与建筑学院</w:t>
            </w:r>
          </w:p>
        </w:tc>
      </w:tr>
      <w:tr w:rsidR="000F352D" w:rsidRPr="00993D87" w14:paraId="70F934CF" w14:textId="77777777" w:rsidTr="000F352D">
        <w:trPr>
          <w:trHeight w:val="540"/>
        </w:trPr>
        <w:tc>
          <w:tcPr>
            <w:tcW w:w="822" w:type="dxa"/>
            <w:shd w:val="clear" w:color="auto" w:fill="auto"/>
            <w:noWrap/>
            <w:vAlign w:val="center"/>
            <w:hideMark/>
          </w:tcPr>
          <w:p w14:paraId="19604237"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7</w:t>
            </w:r>
          </w:p>
        </w:tc>
        <w:tc>
          <w:tcPr>
            <w:tcW w:w="8080" w:type="dxa"/>
            <w:shd w:val="clear" w:color="auto" w:fill="auto"/>
            <w:vAlign w:val="center"/>
            <w:hideMark/>
          </w:tcPr>
          <w:p w14:paraId="1CD8F44D" w14:textId="77777777" w:rsidR="000F352D" w:rsidRDefault="004067CB" w:rsidP="000F352D">
            <w:pPr>
              <w:spacing w:line="400" w:lineRule="exact"/>
              <w:rPr>
                <w:rFonts w:ascii="仿宋_GB2312" w:eastAsia="仿宋_GB2312" w:hAnsi="等线" w:cs="宋体"/>
                <w:color w:val="000000"/>
                <w:sz w:val="28"/>
                <w:szCs w:val="28"/>
              </w:rPr>
            </w:pPr>
            <w:r w:rsidRPr="004067CB">
              <w:rPr>
                <w:rFonts w:ascii="仿宋_GB2312" w:eastAsia="仿宋_GB2312" w:hAnsi="等线"/>
                <w:color w:val="000000"/>
                <w:sz w:val="28"/>
                <w:szCs w:val="28"/>
              </w:rPr>
              <w:t>统一战线历史经验在推进学校进位</w:t>
            </w:r>
            <w:proofErr w:type="gramStart"/>
            <w:r w:rsidRPr="004067CB">
              <w:rPr>
                <w:rFonts w:ascii="仿宋_GB2312" w:eastAsia="仿宋_GB2312" w:hAnsi="等线"/>
                <w:color w:val="000000"/>
                <w:sz w:val="28"/>
                <w:szCs w:val="28"/>
              </w:rPr>
              <w:t>争先中</w:t>
            </w:r>
            <w:proofErr w:type="gramEnd"/>
            <w:r w:rsidRPr="004067CB">
              <w:rPr>
                <w:rFonts w:ascii="仿宋_GB2312" w:eastAsia="仿宋_GB2312" w:hAnsi="等线"/>
                <w:color w:val="000000"/>
                <w:sz w:val="28"/>
                <w:szCs w:val="28"/>
              </w:rPr>
              <w:t>的实践研究</w:t>
            </w:r>
          </w:p>
        </w:tc>
        <w:tc>
          <w:tcPr>
            <w:tcW w:w="1559" w:type="dxa"/>
            <w:shd w:val="clear" w:color="auto" w:fill="auto"/>
            <w:vAlign w:val="center"/>
            <w:hideMark/>
          </w:tcPr>
          <w:p w14:paraId="4A20E9EA"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王山水</w:t>
            </w:r>
          </w:p>
        </w:tc>
        <w:tc>
          <w:tcPr>
            <w:tcW w:w="3289" w:type="dxa"/>
            <w:shd w:val="clear" w:color="auto" w:fill="auto"/>
            <w:vAlign w:val="center"/>
            <w:hideMark/>
          </w:tcPr>
          <w:p w14:paraId="6BBA9BD5"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土木工程与建筑学院</w:t>
            </w:r>
          </w:p>
        </w:tc>
      </w:tr>
      <w:tr w:rsidR="000F352D" w:rsidRPr="00993D87" w14:paraId="6B343BD4" w14:textId="77777777" w:rsidTr="000F352D">
        <w:trPr>
          <w:trHeight w:val="540"/>
        </w:trPr>
        <w:tc>
          <w:tcPr>
            <w:tcW w:w="822" w:type="dxa"/>
            <w:shd w:val="clear" w:color="auto" w:fill="auto"/>
            <w:noWrap/>
            <w:vAlign w:val="center"/>
            <w:hideMark/>
          </w:tcPr>
          <w:p w14:paraId="236BE1E9"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8</w:t>
            </w:r>
          </w:p>
        </w:tc>
        <w:tc>
          <w:tcPr>
            <w:tcW w:w="8080" w:type="dxa"/>
            <w:shd w:val="clear" w:color="auto" w:fill="auto"/>
            <w:vAlign w:val="center"/>
            <w:hideMark/>
          </w:tcPr>
          <w:p w14:paraId="7CC67318"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建设一流造船大学目标下归国留学人员作用发挥的新路径研究</w:t>
            </w:r>
          </w:p>
        </w:tc>
        <w:tc>
          <w:tcPr>
            <w:tcW w:w="1559" w:type="dxa"/>
            <w:shd w:val="clear" w:color="auto" w:fill="auto"/>
            <w:vAlign w:val="center"/>
            <w:hideMark/>
          </w:tcPr>
          <w:p w14:paraId="643A5C8C" w14:textId="77777777" w:rsidR="000F352D" w:rsidRDefault="000F352D" w:rsidP="000F352D">
            <w:pPr>
              <w:spacing w:line="400" w:lineRule="exact"/>
              <w:jc w:val="center"/>
              <w:rPr>
                <w:rFonts w:ascii="仿宋_GB2312" w:eastAsia="仿宋_GB2312" w:hAnsi="等线" w:cs="宋体"/>
                <w:color w:val="000000"/>
                <w:sz w:val="28"/>
                <w:szCs w:val="28"/>
              </w:rPr>
            </w:pPr>
            <w:proofErr w:type="gramStart"/>
            <w:r>
              <w:rPr>
                <w:rFonts w:ascii="仿宋_GB2312" w:eastAsia="仿宋_GB2312" w:hAnsi="等线" w:hint="eastAsia"/>
                <w:color w:val="000000"/>
                <w:sz w:val="28"/>
                <w:szCs w:val="28"/>
              </w:rPr>
              <w:t>周爱前</w:t>
            </w:r>
            <w:proofErr w:type="gramEnd"/>
          </w:p>
        </w:tc>
        <w:tc>
          <w:tcPr>
            <w:tcW w:w="3289" w:type="dxa"/>
            <w:shd w:val="clear" w:color="auto" w:fill="auto"/>
            <w:vAlign w:val="center"/>
            <w:hideMark/>
          </w:tcPr>
          <w:p w14:paraId="2DFD5861"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土木工程与建筑学院</w:t>
            </w:r>
          </w:p>
        </w:tc>
      </w:tr>
      <w:tr w:rsidR="000F352D" w:rsidRPr="00993D87" w14:paraId="20084AD0" w14:textId="77777777" w:rsidTr="000F352D">
        <w:trPr>
          <w:trHeight w:val="540"/>
        </w:trPr>
        <w:tc>
          <w:tcPr>
            <w:tcW w:w="822" w:type="dxa"/>
            <w:shd w:val="clear" w:color="auto" w:fill="auto"/>
            <w:noWrap/>
            <w:vAlign w:val="center"/>
            <w:hideMark/>
          </w:tcPr>
          <w:p w14:paraId="4DE835DE"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9</w:t>
            </w:r>
          </w:p>
        </w:tc>
        <w:tc>
          <w:tcPr>
            <w:tcW w:w="8080" w:type="dxa"/>
            <w:shd w:val="clear" w:color="auto" w:fill="auto"/>
            <w:vAlign w:val="center"/>
            <w:hideMark/>
          </w:tcPr>
          <w:p w14:paraId="6067573E"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加强江苏科技大学九三学社基层组织建设的实践探索</w:t>
            </w:r>
          </w:p>
        </w:tc>
        <w:tc>
          <w:tcPr>
            <w:tcW w:w="1559" w:type="dxa"/>
            <w:shd w:val="clear" w:color="auto" w:fill="auto"/>
            <w:vAlign w:val="center"/>
            <w:hideMark/>
          </w:tcPr>
          <w:p w14:paraId="778ADE4E"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鲁玉杰</w:t>
            </w:r>
          </w:p>
        </w:tc>
        <w:tc>
          <w:tcPr>
            <w:tcW w:w="3289" w:type="dxa"/>
            <w:shd w:val="clear" w:color="auto" w:fill="auto"/>
            <w:vAlign w:val="center"/>
            <w:hideMark/>
          </w:tcPr>
          <w:p w14:paraId="257F4F0C"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粮食学院</w:t>
            </w:r>
          </w:p>
        </w:tc>
      </w:tr>
      <w:tr w:rsidR="000F352D" w:rsidRPr="00993D87" w14:paraId="5BD91905" w14:textId="77777777" w:rsidTr="000F352D">
        <w:trPr>
          <w:trHeight w:val="540"/>
        </w:trPr>
        <w:tc>
          <w:tcPr>
            <w:tcW w:w="822" w:type="dxa"/>
            <w:shd w:val="clear" w:color="auto" w:fill="auto"/>
            <w:noWrap/>
            <w:vAlign w:val="center"/>
            <w:hideMark/>
          </w:tcPr>
          <w:p w14:paraId="792AE407"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10</w:t>
            </w:r>
          </w:p>
        </w:tc>
        <w:tc>
          <w:tcPr>
            <w:tcW w:w="8080" w:type="dxa"/>
            <w:shd w:val="clear" w:color="auto" w:fill="auto"/>
            <w:vAlign w:val="center"/>
            <w:hideMark/>
          </w:tcPr>
          <w:p w14:paraId="7D7AD1E8"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新时代高校统战工作理念与实践路径研究</w:t>
            </w:r>
          </w:p>
        </w:tc>
        <w:tc>
          <w:tcPr>
            <w:tcW w:w="1559" w:type="dxa"/>
            <w:shd w:val="clear" w:color="auto" w:fill="auto"/>
            <w:vAlign w:val="center"/>
            <w:hideMark/>
          </w:tcPr>
          <w:p w14:paraId="6BD3AABD"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李明睿</w:t>
            </w:r>
          </w:p>
        </w:tc>
        <w:tc>
          <w:tcPr>
            <w:tcW w:w="3289" w:type="dxa"/>
            <w:shd w:val="clear" w:color="auto" w:fill="auto"/>
            <w:vAlign w:val="center"/>
            <w:hideMark/>
          </w:tcPr>
          <w:p w14:paraId="3249FF6F"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人文社科学院</w:t>
            </w:r>
          </w:p>
        </w:tc>
      </w:tr>
      <w:tr w:rsidR="000F352D" w:rsidRPr="00993D87" w14:paraId="0010F84E" w14:textId="77777777" w:rsidTr="000F352D">
        <w:trPr>
          <w:trHeight w:val="540"/>
        </w:trPr>
        <w:tc>
          <w:tcPr>
            <w:tcW w:w="822" w:type="dxa"/>
            <w:shd w:val="clear" w:color="auto" w:fill="auto"/>
            <w:noWrap/>
            <w:vAlign w:val="center"/>
            <w:hideMark/>
          </w:tcPr>
          <w:p w14:paraId="32A1AA89" w14:textId="77777777" w:rsidR="000F352D" w:rsidRPr="00993D87" w:rsidRDefault="000F352D" w:rsidP="000F352D">
            <w:pPr>
              <w:widowControl/>
              <w:spacing w:line="400" w:lineRule="exact"/>
              <w:jc w:val="center"/>
              <w:rPr>
                <w:rFonts w:ascii="宋体" w:eastAsia="宋体" w:hAnsi="宋体" w:cs="宋体"/>
                <w:color w:val="000000"/>
                <w:kern w:val="0"/>
                <w:sz w:val="28"/>
                <w:szCs w:val="28"/>
              </w:rPr>
            </w:pPr>
            <w:r w:rsidRPr="00993D87">
              <w:rPr>
                <w:rFonts w:ascii="宋体" w:eastAsia="宋体" w:hAnsi="宋体" w:cs="宋体" w:hint="eastAsia"/>
                <w:color w:val="000000"/>
                <w:kern w:val="0"/>
                <w:sz w:val="28"/>
                <w:szCs w:val="28"/>
              </w:rPr>
              <w:t>11</w:t>
            </w:r>
          </w:p>
        </w:tc>
        <w:tc>
          <w:tcPr>
            <w:tcW w:w="8080" w:type="dxa"/>
            <w:shd w:val="clear" w:color="auto" w:fill="auto"/>
            <w:vAlign w:val="center"/>
            <w:hideMark/>
          </w:tcPr>
          <w:p w14:paraId="7F181BD0" w14:textId="77777777" w:rsidR="000F352D" w:rsidRDefault="000F352D" w:rsidP="000F352D">
            <w:pPr>
              <w:spacing w:line="400" w:lineRule="exact"/>
              <w:rPr>
                <w:rFonts w:ascii="仿宋_GB2312" w:eastAsia="仿宋_GB2312" w:hAnsi="等线" w:cs="宋体"/>
                <w:color w:val="000000"/>
                <w:sz w:val="28"/>
                <w:szCs w:val="28"/>
              </w:rPr>
            </w:pPr>
            <w:r>
              <w:rPr>
                <w:rFonts w:ascii="仿宋_GB2312" w:eastAsia="仿宋_GB2312" w:hAnsi="等线" w:hint="eastAsia"/>
                <w:color w:val="000000"/>
                <w:sz w:val="28"/>
                <w:szCs w:val="28"/>
              </w:rPr>
              <w:t>习近平总书记关于加强和改进统一战线工作的重要思想对高校统战工作的启示</w:t>
            </w:r>
          </w:p>
        </w:tc>
        <w:tc>
          <w:tcPr>
            <w:tcW w:w="1559" w:type="dxa"/>
            <w:shd w:val="clear" w:color="auto" w:fill="auto"/>
            <w:vAlign w:val="center"/>
            <w:hideMark/>
          </w:tcPr>
          <w:p w14:paraId="5AEFF6CB" w14:textId="77777777" w:rsidR="000F352D" w:rsidRDefault="000F352D" w:rsidP="000F352D">
            <w:pPr>
              <w:spacing w:line="400" w:lineRule="exact"/>
              <w:jc w:val="center"/>
              <w:rPr>
                <w:rFonts w:ascii="仿宋_GB2312" w:eastAsia="仿宋_GB2312" w:hAnsi="等线" w:cs="宋体"/>
                <w:color w:val="000000"/>
                <w:sz w:val="28"/>
                <w:szCs w:val="28"/>
              </w:rPr>
            </w:pPr>
            <w:proofErr w:type="gramStart"/>
            <w:r>
              <w:rPr>
                <w:rFonts w:ascii="仿宋_GB2312" w:eastAsia="仿宋_GB2312" w:hAnsi="等线" w:hint="eastAsia"/>
                <w:color w:val="000000"/>
                <w:sz w:val="28"/>
                <w:szCs w:val="28"/>
              </w:rPr>
              <w:t>朱迅华</w:t>
            </w:r>
            <w:proofErr w:type="gramEnd"/>
          </w:p>
        </w:tc>
        <w:tc>
          <w:tcPr>
            <w:tcW w:w="3289" w:type="dxa"/>
            <w:shd w:val="clear" w:color="auto" w:fill="auto"/>
            <w:vAlign w:val="center"/>
            <w:hideMark/>
          </w:tcPr>
          <w:p w14:paraId="42DBA9E1" w14:textId="77777777" w:rsidR="000F352D" w:rsidRDefault="000F352D" w:rsidP="000F352D">
            <w:pPr>
              <w:spacing w:line="400" w:lineRule="exact"/>
              <w:jc w:val="center"/>
              <w:rPr>
                <w:rFonts w:ascii="仿宋_GB2312" w:eastAsia="仿宋_GB2312" w:hAnsi="等线" w:cs="宋体"/>
                <w:color w:val="000000"/>
                <w:sz w:val="28"/>
                <w:szCs w:val="28"/>
              </w:rPr>
            </w:pPr>
            <w:r>
              <w:rPr>
                <w:rFonts w:ascii="仿宋_GB2312" w:eastAsia="仿宋_GB2312" w:hAnsi="等线" w:hint="eastAsia"/>
                <w:color w:val="000000"/>
                <w:sz w:val="28"/>
                <w:szCs w:val="28"/>
              </w:rPr>
              <w:t>体育学院</w:t>
            </w:r>
          </w:p>
        </w:tc>
      </w:tr>
    </w:tbl>
    <w:p w14:paraId="26127A77" w14:textId="77777777" w:rsidR="0066671B" w:rsidRDefault="0066671B" w:rsidP="000F352D">
      <w:pPr>
        <w:widowControl/>
        <w:spacing w:line="400" w:lineRule="exact"/>
        <w:jc w:val="left"/>
      </w:pPr>
    </w:p>
    <w:sectPr w:rsidR="0066671B" w:rsidSect="00993D87">
      <w:footerReference w:type="even" r:id="rId6"/>
      <w:footerReference w:type="default" r:id="rId7"/>
      <w:pgSz w:w="16838" w:h="11906" w:orient="landscape"/>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8016" w14:textId="77777777" w:rsidR="00CE3C97" w:rsidRDefault="00CE3C97">
      <w:r>
        <w:separator/>
      </w:r>
    </w:p>
  </w:endnote>
  <w:endnote w:type="continuationSeparator" w:id="0">
    <w:p w14:paraId="676F805B" w14:textId="77777777" w:rsidR="00CE3C97" w:rsidRDefault="00C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7918" w14:textId="77777777" w:rsidR="00031242" w:rsidRDefault="004067CB" w:rsidP="00CB3B5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56EF4EFB" w14:textId="77777777" w:rsidR="00031242" w:rsidRPr="00126760" w:rsidRDefault="004067CB" w:rsidP="00616521">
    <w:pPr>
      <w:pStyle w:val="a3"/>
      <w:ind w:right="360" w:firstLine="360"/>
      <w:rPr>
        <w:rFonts w:ascii="仿宋_GB2312" w:eastAsia="仿宋_GB2312"/>
        <w:color w:val="000000"/>
        <w:sz w:val="28"/>
      </w:rPr>
    </w:pPr>
    <w:r w:rsidRPr="00AF1D20">
      <w:rPr>
        <w:rStyle w:val="a5"/>
        <w:rFonts w:ascii="仿宋_GB2312" w:eastAsia="仿宋_GB2312" w:hint="eastAsia"/>
        <w:color w:val="000000"/>
        <w:sz w:val="28"/>
      </w:rPr>
      <w:t>—  —</w:t>
    </w:r>
  </w:p>
  <w:p w14:paraId="35B5D50A" w14:textId="77777777" w:rsidR="00031242" w:rsidRDefault="00CE3C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36E2" w14:textId="77777777" w:rsidR="00031242" w:rsidRDefault="00CE3C97" w:rsidP="00993D8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7499" w14:textId="77777777" w:rsidR="00CE3C97" w:rsidRDefault="00CE3C97">
      <w:r>
        <w:separator/>
      </w:r>
    </w:p>
  </w:footnote>
  <w:footnote w:type="continuationSeparator" w:id="0">
    <w:p w14:paraId="20096E73" w14:textId="77777777" w:rsidR="00CE3C97" w:rsidRDefault="00CE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831"/>
    <w:rsid w:val="000F352D"/>
    <w:rsid w:val="001A3330"/>
    <w:rsid w:val="002072C2"/>
    <w:rsid w:val="00327831"/>
    <w:rsid w:val="003D36A0"/>
    <w:rsid w:val="004067CB"/>
    <w:rsid w:val="004A0464"/>
    <w:rsid w:val="0066671B"/>
    <w:rsid w:val="00745E9A"/>
    <w:rsid w:val="007F6DF8"/>
    <w:rsid w:val="008607E9"/>
    <w:rsid w:val="00870824"/>
    <w:rsid w:val="00A3171D"/>
    <w:rsid w:val="00BB5D72"/>
    <w:rsid w:val="00CB39ED"/>
    <w:rsid w:val="00CE3C97"/>
    <w:rsid w:val="00D353AA"/>
    <w:rsid w:val="00EF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3E5B"/>
  <w15:docId w15:val="{40942D2E-F076-49A4-8AA6-38F548C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7831"/>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327831"/>
    <w:rPr>
      <w:rFonts w:ascii="Times New Roman" w:eastAsia="宋体" w:hAnsi="Times New Roman" w:cs="Times New Roman"/>
      <w:sz w:val="18"/>
      <w:szCs w:val="18"/>
    </w:rPr>
  </w:style>
  <w:style w:type="character" w:styleId="a5">
    <w:name w:val="page number"/>
    <w:basedOn w:val="a0"/>
    <w:rsid w:val="00327831"/>
  </w:style>
  <w:style w:type="paragraph" w:customStyle="1" w:styleId="p0">
    <w:name w:val="p0"/>
    <w:basedOn w:val="a"/>
    <w:rsid w:val="00327831"/>
    <w:pPr>
      <w:widowControl/>
      <w:jc w:val="left"/>
    </w:pPr>
    <w:rPr>
      <w:rFonts w:ascii="宋体" w:eastAsia="宋体" w:hAnsi="宋体" w:cs="宋体"/>
      <w:kern w:val="0"/>
      <w:sz w:val="24"/>
      <w:szCs w:val="24"/>
    </w:rPr>
  </w:style>
  <w:style w:type="paragraph" w:styleId="a6">
    <w:name w:val="Normal (Web)"/>
    <w:basedOn w:val="a"/>
    <w:uiPriority w:val="99"/>
    <w:unhideWhenUsed/>
    <w:rsid w:val="00327831"/>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4A046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A04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居凌云</dc:creator>
  <cp:lastModifiedBy>范 国蕾</cp:lastModifiedBy>
  <cp:revision>11</cp:revision>
  <dcterms:created xsi:type="dcterms:W3CDTF">2021-04-28T02:39:00Z</dcterms:created>
  <dcterms:modified xsi:type="dcterms:W3CDTF">2021-05-08T04:17:00Z</dcterms:modified>
</cp:coreProperties>
</file>